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4"/>
          <w:szCs w:val="24"/>
          <w:lang w:val="en-US"/>
        </w:rPr>
      </w:pPr>
      <w:r>
        <w:rPr>
          <w:rFonts w:ascii="仿宋_GB2312" w:hAnsi="微软雅黑" w:eastAsia="仿宋_GB2312" w:cs="仿宋_GB2312"/>
          <w:b w:val="0"/>
          <w:i w:val="0"/>
          <w:caps w:val="0"/>
          <w:color w:val="000000"/>
          <w:spacing w:val="0"/>
          <w:kern w:val="0"/>
          <w:sz w:val="32"/>
          <w:szCs w:val="32"/>
          <w:shd w:val="clear" w:fill="FFFFFF"/>
          <w:lang w:val="en-US" w:eastAsia="zh-CN" w:bidi="ar"/>
        </w:rPr>
        <w:t>附件：</w:t>
      </w: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5</w:t>
      </w:r>
    </w:p>
    <w:tbl>
      <w:tblPr>
        <w:tblStyle w:val="3"/>
        <w:tblW w:w="15966" w:type="dxa"/>
        <w:tblInd w:w="-638" w:type="dxa"/>
        <w:shd w:val="clear" w:color="auto" w:fill="FFFFFF"/>
        <w:tblLayout w:type="fixed"/>
        <w:tblCellMar>
          <w:top w:w="0" w:type="dxa"/>
          <w:left w:w="0" w:type="dxa"/>
          <w:bottom w:w="0" w:type="dxa"/>
          <w:right w:w="0" w:type="dxa"/>
        </w:tblCellMar>
      </w:tblPr>
      <w:tblGrid>
        <w:gridCol w:w="501"/>
        <w:gridCol w:w="1305"/>
        <w:gridCol w:w="6600"/>
        <w:gridCol w:w="1485"/>
        <w:gridCol w:w="1665"/>
        <w:gridCol w:w="1065"/>
        <w:gridCol w:w="1740"/>
        <w:gridCol w:w="1605"/>
      </w:tblGrid>
      <w:tr>
        <w:tblPrEx>
          <w:shd w:val="clear" w:color="auto" w:fill="FFFFFF"/>
          <w:tblLayout w:type="fixed"/>
          <w:tblCellMar>
            <w:top w:w="0" w:type="dxa"/>
            <w:left w:w="0" w:type="dxa"/>
            <w:bottom w:w="0" w:type="dxa"/>
            <w:right w:w="0" w:type="dxa"/>
          </w:tblCellMar>
        </w:tblPrEx>
        <w:trPr>
          <w:trHeight w:val="784" w:hRule="atLeast"/>
        </w:trPr>
        <w:tc>
          <w:tcPr>
            <w:tcW w:w="15966" w:type="dxa"/>
            <w:gridSpan w:val="8"/>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Theme="minorEastAsia" w:hAnsiTheme="minorEastAsia" w:cstheme="minorEastAsia"/>
                <w:b/>
                <w:bCs/>
                <w:i w:val="0"/>
                <w:caps w:val="0"/>
                <w:color w:val="000000"/>
                <w:spacing w:val="0"/>
                <w:sz w:val="36"/>
                <w:szCs w:val="36"/>
                <w:shd w:val="clear" w:fill="FFFFFF"/>
                <w:lang w:eastAsia="zh-CN"/>
              </w:rPr>
              <w:t>六盘水市卫生健康局</w:t>
            </w:r>
            <w:r>
              <w:rPr>
                <w:rFonts w:hint="eastAsia" w:asciiTheme="minorEastAsia" w:hAnsiTheme="minorEastAsia" w:eastAsiaTheme="minorEastAsia" w:cstheme="minorEastAsia"/>
                <w:b/>
                <w:bCs/>
                <w:i w:val="0"/>
                <w:caps w:val="0"/>
                <w:color w:val="000000"/>
                <w:spacing w:val="0"/>
                <w:sz w:val="36"/>
                <w:szCs w:val="36"/>
                <w:shd w:val="clear" w:fill="FFFFFF"/>
              </w:rPr>
              <w:t>201</w:t>
            </w:r>
            <w:r>
              <w:rPr>
                <w:rFonts w:hint="eastAsia" w:asciiTheme="minorEastAsia" w:hAnsiTheme="minorEastAsia" w:cstheme="minorEastAsia"/>
                <w:b/>
                <w:bCs/>
                <w:i w:val="0"/>
                <w:caps w:val="0"/>
                <w:color w:val="000000"/>
                <w:spacing w:val="0"/>
                <w:sz w:val="36"/>
                <w:szCs w:val="36"/>
                <w:shd w:val="clear" w:fill="FFFFFF"/>
                <w:lang w:val="en-US" w:eastAsia="zh-CN"/>
              </w:rPr>
              <w:t>9</w:t>
            </w:r>
            <w:r>
              <w:rPr>
                <w:rFonts w:hint="eastAsia" w:asciiTheme="minorEastAsia" w:hAnsiTheme="minorEastAsia" w:eastAsiaTheme="minorEastAsia" w:cstheme="minorEastAsia"/>
                <w:b/>
                <w:bCs/>
                <w:i w:val="0"/>
                <w:caps w:val="0"/>
                <w:color w:val="000000"/>
                <w:spacing w:val="0"/>
                <w:sz w:val="36"/>
                <w:szCs w:val="36"/>
                <w:shd w:val="clear" w:fill="FFFFFF"/>
              </w:rPr>
              <w:t>年度双随机抽查工作计划表</w:t>
            </w:r>
          </w:p>
        </w:tc>
      </w:tr>
      <w:tr>
        <w:tblPrEx>
          <w:tblLayout w:type="fixed"/>
          <w:tblCellMar>
            <w:top w:w="0" w:type="dxa"/>
            <w:left w:w="0" w:type="dxa"/>
            <w:bottom w:w="0" w:type="dxa"/>
            <w:right w:w="0" w:type="dxa"/>
          </w:tblCellMar>
        </w:tblPrEx>
        <w:trPr>
          <w:trHeight w:val="978" w:hRule="atLeast"/>
        </w:trPr>
        <w:tc>
          <w:tcPr>
            <w:tcW w:w="5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eastAsia" w:ascii="仿宋_GB2312" w:hAnsi="微软雅黑" w:eastAsia="仿宋_GB2312" w:cs="仿宋_GB2312"/>
                <w:b/>
                <w:bCs/>
                <w:i w:val="0"/>
                <w:caps w:val="0"/>
                <w:color w:val="000000"/>
                <w:spacing w:val="0"/>
                <w:kern w:val="0"/>
                <w:sz w:val="28"/>
                <w:szCs w:val="28"/>
                <w:lang w:val="en-US" w:eastAsia="zh-CN" w:bidi="ar"/>
              </w:rPr>
              <w:t>序号</w:t>
            </w:r>
          </w:p>
        </w:tc>
        <w:tc>
          <w:tcPr>
            <w:tcW w:w="13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微软雅黑" w:eastAsia="仿宋_GB2312" w:cs="仿宋_GB2312"/>
                <w:b/>
                <w:bCs/>
                <w:i w:val="0"/>
                <w:caps w:val="0"/>
                <w:color w:val="000000"/>
                <w:spacing w:val="0"/>
                <w:kern w:val="0"/>
                <w:sz w:val="28"/>
                <w:szCs w:val="28"/>
                <w:lang w:val="en-US" w:eastAsia="zh-CN" w:bidi="ar"/>
              </w:rPr>
            </w:pPr>
            <w:r>
              <w:rPr>
                <w:rFonts w:hint="default" w:ascii="仿宋_GB2312" w:hAnsi="微软雅黑" w:eastAsia="仿宋_GB2312" w:cs="仿宋_GB2312"/>
                <w:b/>
                <w:bCs/>
                <w:i w:val="0"/>
                <w:caps w:val="0"/>
                <w:color w:val="000000"/>
                <w:spacing w:val="0"/>
                <w:kern w:val="0"/>
                <w:sz w:val="28"/>
                <w:szCs w:val="28"/>
                <w:lang w:val="en-US" w:eastAsia="zh-CN" w:bidi="ar"/>
              </w:rPr>
              <w:t>抽查</w:t>
            </w:r>
            <w:r>
              <w:rPr>
                <w:rFonts w:hint="eastAsia" w:ascii="仿宋_GB2312" w:hAnsi="微软雅黑" w:eastAsia="仿宋_GB2312" w:cs="仿宋_GB2312"/>
                <w:b/>
                <w:bCs/>
                <w:i w:val="0"/>
                <w:caps w:val="0"/>
                <w:color w:val="000000"/>
                <w:spacing w:val="0"/>
                <w:kern w:val="0"/>
                <w:sz w:val="28"/>
                <w:szCs w:val="28"/>
                <w:lang w:val="en-US" w:eastAsia="zh-CN" w:bidi="ar"/>
              </w:rPr>
              <w:t>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eastAsia" w:ascii="仿宋_GB2312" w:hAnsi="微软雅黑" w:eastAsia="仿宋_GB2312" w:cs="仿宋_GB2312"/>
                <w:b/>
                <w:bCs/>
                <w:i w:val="0"/>
                <w:caps w:val="0"/>
                <w:color w:val="000000"/>
                <w:spacing w:val="0"/>
                <w:kern w:val="0"/>
                <w:sz w:val="28"/>
                <w:szCs w:val="28"/>
                <w:lang w:val="en-US" w:eastAsia="zh-CN" w:bidi="ar"/>
              </w:rPr>
              <w:t>项</w:t>
            </w:r>
            <w:r>
              <w:rPr>
                <w:rFonts w:hint="default" w:ascii="仿宋_GB2312" w:hAnsi="微软雅黑" w:eastAsia="仿宋_GB2312" w:cs="仿宋_GB2312"/>
                <w:b/>
                <w:bCs/>
                <w:i w:val="0"/>
                <w:caps w:val="0"/>
                <w:color w:val="000000"/>
                <w:spacing w:val="0"/>
                <w:kern w:val="0"/>
                <w:sz w:val="28"/>
                <w:szCs w:val="28"/>
                <w:lang w:val="en-US" w:eastAsia="zh-CN" w:bidi="ar"/>
              </w:rPr>
              <w:t>名称</w:t>
            </w: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default" w:ascii="仿宋_GB2312" w:hAnsi="微软雅黑" w:eastAsia="仿宋_GB2312" w:cs="仿宋_GB2312"/>
                <w:b/>
                <w:bCs/>
                <w:i w:val="0"/>
                <w:caps w:val="0"/>
                <w:color w:val="000000"/>
                <w:spacing w:val="0"/>
                <w:kern w:val="0"/>
                <w:sz w:val="28"/>
                <w:szCs w:val="28"/>
                <w:lang w:val="en-US" w:eastAsia="zh-CN" w:bidi="ar"/>
              </w:rPr>
              <w:t>抽查</w:t>
            </w:r>
            <w:r>
              <w:rPr>
                <w:rFonts w:hint="eastAsia" w:ascii="仿宋_GB2312" w:hAnsi="微软雅黑" w:eastAsia="仿宋_GB2312" w:cs="仿宋_GB2312"/>
                <w:b/>
                <w:bCs/>
                <w:i w:val="0"/>
                <w:caps w:val="0"/>
                <w:color w:val="000000"/>
                <w:spacing w:val="0"/>
                <w:kern w:val="0"/>
                <w:sz w:val="28"/>
                <w:szCs w:val="28"/>
                <w:lang w:val="en-US" w:eastAsia="zh-CN" w:bidi="ar"/>
              </w:rPr>
              <w:t>内容</w:t>
            </w:r>
          </w:p>
        </w:tc>
        <w:tc>
          <w:tcPr>
            <w:tcW w:w="14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微软雅黑" w:eastAsia="仿宋_GB2312" w:cs="仿宋_GB2312"/>
                <w:b/>
                <w:bCs/>
                <w:i w:val="0"/>
                <w:caps w:val="0"/>
                <w:color w:val="000000"/>
                <w:spacing w:val="0"/>
                <w:kern w:val="0"/>
                <w:sz w:val="28"/>
                <w:szCs w:val="28"/>
                <w:lang w:val="en-US" w:eastAsia="zh-CN" w:bidi="ar"/>
              </w:rPr>
            </w:pPr>
            <w:r>
              <w:rPr>
                <w:rFonts w:hint="eastAsia" w:ascii="仿宋_GB2312" w:hAnsi="微软雅黑" w:eastAsia="仿宋_GB2312" w:cs="仿宋_GB2312"/>
                <w:b/>
                <w:bCs/>
                <w:i w:val="0"/>
                <w:caps w:val="0"/>
                <w:color w:val="000000"/>
                <w:spacing w:val="0"/>
                <w:kern w:val="0"/>
                <w:sz w:val="28"/>
                <w:szCs w:val="28"/>
                <w:lang w:val="en-US" w:eastAsia="zh-CN" w:bidi="ar"/>
              </w:rPr>
              <w:t>责任单位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eastAsia" w:ascii="仿宋_GB2312" w:hAnsi="微软雅黑" w:eastAsia="仿宋_GB2312" w:cs="仿宋_GB2312"/>
                <w:b/>
                <w:bCs/>
                <w:i w:val="0"/>
                <w:caps w:val="0"/>
                <w:color w:val="000000"/>
                <w:spacing w:val="0"/>
                <w:kern w:val="0"/>
                <w:sz w:val="28"/>
                <w:szCs w:val="28"/>
                <w:lang w:val="en-US" w:eastAsia="zh-CN" w:bidi="ar"/>
              </w:rPr>
              <w:t>或部门</w:t>
            </w: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default" w:ascii="仿宋_GB2312" w:hAnsi="微软雅黑" w:eastAsia="仿宋_GB2312" w:cs="仿宋_GB2312"/>
                <w:b/>
                <w:bCs/>
                <w:i w:val="0"/>
                <w:caps w:val="0"/>
                <w:color w:val="000000"/>
                <w:spacing w:val="0"/>
                <w:kern w:val="0"/>
                <w:sz w:val="28"/>
                <w:szCs w:val="28"/>
                <w:lang w:val="en-US" w:eastAsia="zh-CN" w:bidi="ar"/>
              </w:rPr>
              <w:t>抽查</w:t>
            </w:r>
            <w:r>
              <w:rPr>
                <w:rFonts w:hint="eastAsia" w:ascii="仿宋_GB2312" w:hAnsi="微软雅黑" w:eastAsia="仿宋_GB2312" w:cs="仿宋_GB2312"/>
                <w:b/>
                <w:bCs/>
                <w:i w:val="0"/>
                <w:caps w:val="0"/>
                <w:color w:val="000000"/>
                <w:spacing w:val="0"/>
                <w:kern w:val="0"/>
                <w:sz w:val="28"/>
                <w:szCs w:val="28"/>
                <w:lang w:val="en-US" w:eastAsia="zh-CN" w:bidi="ar"/>
              </w:rPr>
              <w:t>对象</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仿宋_GB2312" w:hAnsi="微软雅黑" w:eastAsia="仿宋_GB2312" w:cs="仿宋_GB2312"/>
                <w:b/>
                <w:bCs/>
                <w:i w:val="0"/>
                <w:caps w:val="0"/>
                <w:color w:val="000000"/>
                <w:spacing w:val="0"/>
                <w:kern w:val="0"/>
                <w:sz w:val="28"/>
                <w:szCs w:val="28"/>
                <w:lang w:val="en-US" w:eastAsia="zh-CN" w:bidi="ar"/>
              </w:rPr>
            </w:pPr>
            <w:r>
              <w:rPr>
                <w:rFonts w:hint="default" w:ascii="仿宋_GB2312" w:hAnsi="微软雅黑" w:eastAsia="仿宋_GB2312" w:cs="仿宋_GB2312"/>
                <w:b/>
                <w:bCs/>
                <w:i w:val="0"/>
                <w:caps w:val="0"/>
                <w:color w:val="000000"/>
                <w:spacing w:val="0"/>
                <w:kern w:val="0"/>
                <w:sz w:val="28"/>
                <w:szCs w:val="28"/>
                <w:lang w:val="en-US" w:eastAsia="zh-CN" w:bidi="ar"/>
              </w:rPr>
              <w:t>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eastAsia" w:ascii="仿宋_GB2312" w:hAnsi="微软雅黑" w:eastAsia="仿宋_GB2312" w:cs="仿宋_GB2312"/>
                <w:b/>
                <w:bCs/>
                <w:i w:val="0"/>
                <w:caps w:val="0"/>
                <w:color w:val="000000"/>
                <w:spacing w:val="0"/>
                <w:kern w:val="0"/>
                <w:sz w:val="28"/>
                <w:szCs w:val="28"/>
                <w:lang w:val="en-US" w:eastAsia="zh-CN" w:bidi="ar"/>
              </w:rPr>
              <w:t>比例</w:t>
            </w:r>
          </w:p>
        </w:tc>
        <w:tc>
          <w:tcPr>
            <w:tcW w:w="1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default" w:ascii="仿宋_GB2312" w:hAnsi="微软雅黑" w:eastAsia="仿宋_GB2312" w:cs="仿宋_GB2312"/>
                <w:b/>
                <w:bCs/>
                <w:i w:val="0"/>
                <w:caps w:val="0"/>
                <w:color w:val="000000"/>
                <w:spacing w:val="0"/>
                <w:kern w:val="0"/>
                <w:sz w:val="28"/>
                <w:szCs w:val="28"/>
                <w:lang w:val="en-US" w:eastAsia="zh-CN" w:bidi="ar"/>
              </w:rPr>
              <w:t>抽查</w:t>
            </w:r>
            <w:r>
              <w:rPr>
                <w:rFonts w:hint="eastAsia" w:ascii="仿宋_GB2312" w:hAnsi="微软雅黑" w:eastAsia="仿宋_GB2312" w:cs="仿宋_GB2312"/>
                <w:b/>
                <w:bCs/>
                <w:i w:val="0"/>
                <w:caps w:val="0"/>
                <w:color w:val="000000"/>
                <w:spacing w:val="0"/>
                <w:kern w:val="0"/>
                <w:sz w:val="28"/>
                <w:szCs w:val="28"/>
                <w:lang w:val="en-US" w:eastAsia="zh-CN" w:bidi="ar"/>
              </w:rPr>
              <w:t>频次</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b/>
                <w:bCs/>
              </w:rPr>
            </w:pPr>
            <w:r>
              <w:rPr>
                <w:rFonts w:hint="default" w:ascii="仿宋_GB2312" w:hAnsi="微软雅黑" w:eastAsia="仿宋_GB2312" w:cs="仿宋_GB2312"/>
                <w:b/>
                <w:bCs/>
                <w:i w:val="0"/>
                <w:caps w:val="0"/>
                <w:color w:val="000000"/>
                <w:spacing w:val="0"/>
                <w:kern w:val="0"/>
                <w:sz w:val="28"/>
                <w:szCs w:val="28"/>
                <w:lang w:val="en-US" w:eastAsia="zh-CN" w:bidi="ar"/>
              </w:rPr>
              <w:t>抽查</w:t>
            </w:r>
            <w:r>
              <w:rPr>
                <w:rFonts w:hint="eastAsia" w:ascii="仿宋_GB2312" w:hAnsi="微软雅黑" w:eastAsia="仿宋_GB2312" w:cs="仿宋_GB2312"/>
                <w:b/>
                <w:bCs/>
                <w:i w:val="0"/>
                <w:caps w:val="0"/>
                <w:color w:val="000000"/>
                <w:spacing w:val="0"/>
                <w:kern w:val="0"/>
                <w:sz w:val="28"/>
                <w:szCs w:val="28"/>
                <w:lang w:val="en-US" w:eastAsia="zh-CN" w:bidi="ar"/>
              </w:rPr>
              <w:t>时间</w:t>
            </w:r>
          </w:p>
        </w:tc>
      </w:tr>
      <w:tr>
        <w:tblPrEx>
          <w:tblLayout w:type="fixed"/>
          <w:tblCellMar>
            <w:top w:w="0" w:type="dxa"/>
            <w:left w:w="0" w:type="dxa"/>
            <w:bottom w:w="0" w:type="dxa"/>
            <w:right w:w="0" w:type="dxa"/>
          </w:tblCellMar>
        </w:tblPrEx>
        <w:trPr>
          <w:trHeight w:val="1160" w:hRule="atLeast"/>
        </w:trPr>
        <w:tc>
          <w:tcPr>
            <w:tcW w:w="5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1</w:t>
            </w:r>
          </w:p>
        </w:tc>
        <w:tc>
          <w:tcPr>
            <w:tcW w:w="13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保健用品卫生监督抽查</w:t>
            </w: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sz w:val="24"/>
                <w:szCs w:val="24"/>
              </w:rPr>
            </w:pPr>
            <w:r>
              <w:rPr>
                <w:rFonts w:hint="eastAsia" w:ascii="仿宋" w:hAnsi="仿宋" w:eastAsia="仿宋" w:cs="仿宋"/>
                <w:b w:val="0"/>
                <w:bCs w:val="0"/>
                <w:i w:val="0"/>
                <w:caps w:val="0"/>
                <w:color w:val="000000"/>
                <w:spacing w:val="0"/>
                <w:sz w:val="24"/>
                <w:szCs w:val="24"/>
                <w:shd w:val="clear" w:fill="FFFFFF"/>
              </w:rPr>
              <w:t>对许可情况、从业人员健康情况、卫生管理制度落实情况等开展监督检查。</w:t>
            </w:r>
          </w:p>
        </w:tc>
        <w:tc>
          <w:tcPr>
            <w:tcW w:w="14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市卫生监督所传染病防治监督科</w:t>
            </w: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保健用品生产单位</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c>
          <w:tcPr>
            <w:tcW w:w="1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每年1次</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2019年7月</w:t>
            </w:r>
          </w:p>
        </w:tc>
      </w:tr>
      <w:tr>
        <w:tblPrEx>
          <w:tblLayout w:type="fixed"/>
          <w:tblCellMar>
            <w:top w:w="0" w:type="dxa"/>
            <w:left w:w="0" w:type="dxa"/>
            <w:bottom w:w="0" w:type="dxa"/>
            <w:right w:w="0" w:type="dxa"/>
          </w:tblCellMar>
        </w:tblPrEx>
        <w:trPr>
          <w:trHeight w:val="1123" w:hRule="atLeast"/>
        </w:trPr>
        <w:tc>
          <w:tcPr>
            <w:tcW w:w="5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w:t>
            </w:r>
          </w:p>
        </w:tc>
        <w:tc>
          <w:tcPr>
            <w:tcW w:w="13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生活饮用水卫生监督抽查</w:t>
            </w: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对供水单位卫生许可情况、从业人员健康情况、卫生管理制度落实情况开展监督检查；对涉及饮用水卫生安全产品开展监督检查；对生活饮用水、涉水产品开展卫生监督抽检。</w:t>
            </w:r>
          </w:p>
        </w:tc>
        <w:tc>
          <w:tcPr>
            <w:tcW w:w="14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市卫生监督所传染病防治监督科</w:t>
            </w: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供水单位</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sz w:val="24"/>
                <w:szCs w:val="24"/>
                <w:lang w:val="en-US" w:eastAsia="zh-CN"/>
              </w:rPr>
              <w:t>每年1次</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2019年7月</w:t>
            </w:r>
          </w:p>
        </w:tc>
      </w:tr>
      <w:tr>
        <w:tblPrEx>
          <w:tblLayout w:type="fixed"/>
          <w:tblCellMar>
            <w:top w:w="0" w:type="dxa"/>
            <w:left w:w="0" w:type="dxa"/>
            <w:bottom w:w="0" w:type="dxa"/>
            <w:right w:w="0" w:type="dxa"/>
          </w:tblCellMar>
        </w:tblPrEx>
        <w:trPr>
          <w:trHeight w:val="1413" w:hRule="atLeast"/>
        </w:trPr>
        <w:tc>
          <w:tcPr>
            <w:tcW w:w="5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3</w:t>
            </w:r>
          </w:p>
        </w:tc>
        <w:tc>
          <w:tcPr>
            <w:tcW w:w="13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sz w:val="24"/>
                <w:szCs w:val="24"/>
              </w:rPr>
              <w:t>学校卫生</w:t>
            </w:r>
            <w:r>
              <w:rPr>
                <w:rFonts w:hint="eastAsia" w:ascii="仿宋" w:hAnsi="仿宋" w:eastAsia="仿宋" w:cs="仿宋"/>
                <w:b w:val="0"/>
                <w:i w:val="0"/>
                <w:caps w:val="0"/>
                <w:color w:val="000000"/>
                <w:spacing w:val="0"/>
                <w:kern w:val="0"/>
                <w:sz w:val="24"/>
                <w:szCs w:val="24"/>
                <w:lang w:val="en-US" w:eastAsia="zh-CN" w:bidi="ar"/>
              </w:rPr>
              <w:t>监督抽查</w:t>
            </w: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sz w:val="24"/>
                <w:szCs w:val="24"/>
              </w:rPr>
              <w:t>对学校的教学及生活环境、传染病防控工作、生活饮用水、学校内设医疗机构和保健室、学校内公共场所开展卫生监督检查；对学校突发公共卫生事件应急处置工作落实情况开展卫生监督。</w:t>
            </w:r>
          </w:p>
        </w:tc>
        <w:tc>
          <w:tcPr>
            <w:tcW w:w="14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市卫生监督所传染病防治监督科</w:t>
            </w: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学校</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sz w:val="24"/>
                <w:szCs w:val="24"/>
                <w:lang w:val="en-US" w:eastAsia="zh-CN"/>
              </w:rPr>
              <w:t>每年1次</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2019年11月</w:t>
            </w:r>
          </w:p>
        </w:tc>
      </w:tr>
      <w:tr>
        <w:tblPrEx>
          <w:tblLayout w:type="fixed"/>
          <w:tblCellMar>
            <w:top w:w="0" w:type="dxa"/>
            <w:left w:w="0" w:type="dxa"/>
            <w:bottom w:w="0" w:type="dxa"/>
            <w:right w:w="0" w:type="dxa"/>
          </w:tblCellMar>
        </w:tblPrEx>
        <w:trPr>
          <w:trHeight w:val="988" w:hRule="atLeast"/>
        </w:trPr>
        <w:tc>
          <w:tcPr>
            <w:tcW w:w="5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4</w:t>
            </w:r>
          </w:p>
        </w:tc>
        <w:tc>
          <w:tcPr>
            <w:tcW w:w="13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餐饮具集中消毒服务单位卫生监督抽查</w:t>
            </w: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对餐饮具集中消毒服务单位作业场所、清洗消毒设备或者设施、生产用水和使用的洗涤剂消毒剂、餐饮具的出厂检验情况、餐饮具包装标识等开展监督检查。</w:t>
            </w:r>
          </w:p>
        </w:tc>
        <w:tc>
          <w:tcPr>
            <w:tcW w:w="14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市卫生监督所传染病防治监督科</w:t>
            </w: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餐饮具集中消毒服务单位</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sz w:val="24"/>
                <w:szCs w:val="24"/>
                <w:lang w:val="en-US" w:eastAsia="zh-CN"/>
              </w:rPr>
              <w:t>每年1次</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2019年10月</w:t>
            </w:r>
          </w:p>
        </w:tc>
      </w:tr>
      <w:tr>
        <w:tblPrEx>
          <w:tblLayout w:type="fixed"/>
          <w:tblCellMar>
            <w:top w:w="0" w:type="dxa"/>
            <w:left w:w="0" w:type="dxa"/>
            <w:bottom w:w="0" w:type="dxa"/>
            <w:right w:w="0" w:type="dxa"/>
          </w:tblCellMar>
        </w:tblPrEx>
        <w:trPr>
          <w:trHeight w:val="988" w:hRule="atLeast"/>
        </w:trPr>
        <w:tc>
          <w:tcPr>
            <w:tcW w:w="5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5</w:t>
            </w:r>
          </w:p>
        </w:tc>
        <w:tc>
          <w:tcPr>
            <w:tcW w:w="13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公共场所卫生监督抽查</w:t>
            </w: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对公共场所卫生许可情况、从业人员健康情况、卫生管理制度落实情况等开展监督检查；开展公共场所卫生监督抽检。</w:t>
            </w:r>
          </w:p>
        </w:tc>
        <w:tc>
          <w:tcPr>
            <w:tcW w:w="14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市卫生监督所职业和放射卫生监督科</w:t>
            </w: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公共场所</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sz w:val="24"/>
                <w:szCs w:val="24"/>
                <w:lang w:val="en-US" w:eastAsia="zh-CN"/>
              </w:rPr>
              <w:t>每年2次</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2019年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第三、四季度</w:t>
            </w:r>
          </w:p>
        </w:tc>
      </w:tr>
      <w:tr>
        <w:tblPrEx>
          <w:tblLayout w:type="fixed"/>
          <w:tblCellMar>
            <w:top w:w="0" w:type="dxa"/>
            <w:left w:w="0" w:type="dxa"/>
            <w:bottom w:w="0" w:type="dxa"/>
            <w:right w:w="0" w:type="dxa"/>
          </w:tblCellMar>
        </w:tblPrEx>
        <w:trPr>
          <w:trHeight w:val="988" w:hRule="atLeast"/>
        </w:trPr>
        <w:tc>
          <w:tcPr>
            <w:tcW w:w="501" w:type="dxa"/>
            <w:vMerge w:val="restart"/>
            <w:tcBorders>
              <w:top w:val="nil"/>
              <w:left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305" w:type="dxa"/>
            <w:vMerge w:val="restart"/>
            <w:tcBorders>
              <w:top w:val="nil"/>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医疗卫生机构依法执业抽查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医疗机构、采供血机构及其从业人员的执业活动检查。</w:t>
            </w:r>
          </w:p>
        </w:tc>
        <w:tc>
          <w:tcPr>
            <w:tcW w:w="1485" w:type="dxa"/>
            <w:vMerge w:val="restart"/>
            <w:tcBorders>
              <w:top w:val="nil"/>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市卫生监督所传染病防治监督科、医疗机构监督科、职业和放射卫生监督科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医疗机构、采供血机构</w:t>
            </w:r>
          </w:p>
        </w:tc>
        <w:tc>
          <w:tcPr>
            <w:tcW w:w="1065" w:type="dxa"/>
            <w:vMerge w:val="restart"/>
            <w:tcBorders>
              <w:top w:val="nil"/>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740" w:type="dxa"/>
            <w:vMerge w:val="restart"/>
            <w:tcBorders>
              <w:top w:val="nil"/>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每年5次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605" w:type="dxa"/>
            <w:vMerge w:val="restart"/>
            <w:tcBorders>
              <w:top w:val="nil"/>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2019年5月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2019年6月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2019年8月2019年9月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2019年10月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r>
      <w:tr>
        <w:tblPrEx>
          <w:tblLayout w:type="fixed"/>
          <w:tblCellMar>
            <w:top w:w="0" w:type="dxa"/>
            <w:left w:w="0" w:type="dxa"/>
            <w:bottom w:w="0" w:type="dxa"/>
            <w:right w:w="0" w:type="dxa"/>
          </w:tblCellMar>
        </w:tblPrEx>
        <w:trPr>
          <w:trHeight w:val="988" w:hRule="atLeast"/>
        </w:trPr>
        <w:tc>
          <w:tcPr>
            <w:tcW w:w="501" w:type="dxa"/>
            <w:vMerge w:val="continue"/>
            <w:tcBorders>
              <w:left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30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对放射诊疗机构监督检查内容包括：1.放射诊疗许可、校验、变更情况；2.放射工作人员健康监护、放射诊疗设备、安全防护装置、辐射检测仪器和个人防护用品配备情况；3.放射诊疗建设项目审查、验收情况。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放射卫生技术服务机构依法开展放射卫生技术服务情况。</w:t>
            </w:r>
          </w:p>
        </w:tc>
        <w:tc>
          <w:tcPr>
            <w:tcW w:w="148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放射诊疗机构、放射卫生技术服务机构</w:t>
            </w:r>
          </w:p>
        </w:tc>
        <w:tc>
          <w:tcPr>
            <w:tcW w:w="106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740"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60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r>
      <w:tr>
        <w:tblPrEx>
          <w:tblLayout w:type="fixed"/>
          <w:tblCellMar>
            <w:top w:w="0" w:type="dxa"/>
            <w:left w:w="0" w:type="dxa"/>
            <w:bottom w:w="0" w:type="dxa"/>
            <w:right w:w="0" w:type="dxa"/>
          </w:tblCellMar>
        </w:tblPrEx>
        <w:trPr>
          <w:trHeight w:val="988" w:hRule="atLeast"/>
        </w:trPr>
        <w:tc>
          <w:tcPr>
            <w:tcW w:w="501" w:type="dxa"/>
            <w:vMerge w:val="continue"/>
            <w:tcBorders>
              <w:left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30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p>
        </w:tc>
        <w:tc>
          <w:tcPr>
            <w:tcW w:w="6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sz w:val="24"/>
                <w:szCs w:val="24"/>
              </w:rPr>
              <w:t>职业健康检查机构、职业病诊断机构、职业病鉴定办事机构对相关法律法规、标准的执行情况。</w:t>
            </w:r>
          </w:p>
        </w:tc>
        <w:tc>
          <w:tcPr>
            <w:tcW w:w="148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p>
        </w:tc>
        <w:tc>
          <w:tcPr>
            <w:tcW w:w="16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sz w:val="24"/>
                <w:szCs w:val="24"/>
              </w:rPr>
              <w:t>职业健康检查机构、职业病诊断机构、职业病鉴定办事机构</w:t>
            </w:r>
          </w:p>
        </w:tc>
        <w:tc>
          <w:tcPr>
            <w:tcW w:w="106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740"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605" w:type="dxa"/>
            <w:vMerge w:val="continue"/>
            <w:tcBorders>
              <w:left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r>
      <w:tr>
        <w:tblPrEx>
          <w:tblLayout w:type="fixed"/>
          <w:tblCellMar>
            <w:top w:w="0" w:type="dxa"/>
            <w:left w:w="0" w:type="dxa"/>
            <w:bottom w:w="0" w:type="dxa"/>
            <w:right w:w="0" w:type="dxa"/>
          </w:tblCellMar>
        </w:tblPrEx>
        <w:trPr>
          <w:trHeight w:val="988" w:hRule="atLeast"/>
        </w:trPr>
        <w:tc>
          <w:tcPr>
            <w:tcW w:w="501" w:type="dxa"/>
            <w:vMerge w:val="continue"/>
            <w:tcBorders>
              <w:left w:val="single" w:color="auto" w:sz="8" w:space="0"/>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305"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p>
        </w:tc>
        <w:tc>
          <w:tcPr>
            <w:tcW w:w="6600" w:type="dxa"/>
            <w:tcBorders>
              <w:top w:val="nil"/>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sz w:val="24"/>
                <w:szCs w:val="24"/>
              </w:rPr>
              <w:t>对医疗卫生机构（疾控机构、医疗机构、采供血机构）预防接种、传染病疫情报告、传染病疫情控制措施、消毒隔离制度执行情况、医疗废物处置及病原微生物实验室生物安全管理等开展卫生监督检查。</w:t>
            </w:r>
          </w:p>
        </w:tc>
        <w:tc>
          <w:tcPr>
            <w:tcW w:w="1485"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b w:val="0"/>
                <w:i w:val="0"/>
                <w:caps w:val="0"/>
                <w:color w:val="000000"/>
                <w:spacing w:val="0"/>
                <w:kern w:val="0"/>
                <w:sz w:val="24"/>
                <w:szCs w:val="24"/>
                <w:lang w:val="en-US" w:eastAsia="zh-CN" w:bidi="ar"/>
              </w:rPr>
            </w:pPr>
          </w:p>
        </w:tc>
        <w:tc>
          <w:tcPr>
            <w:tcW w:w="1665" w:type="dxa"/>
            <w:tcBorders>
              <w:top w:val="nil"/>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sz w:val="24"/>
                <w:szCs w:val="24"/>
              </w:rPr>
              <w:t>疾控机构、医疗机构、采供血机构</w:t>
            </w:r>
          </w:p>
        </w:tc>
        <w:tc>
          <w:tcPr>
            <w:tcW w:w="1065"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p>
        </w:tc>
        <w:tc>
          <w:tcPr>
            <w:tcW w:w="1740"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b w:val="0"/>
                <w:i w:val="0"/>
                <w:caps w:val="0"/>
                <w:color w:val="000000"/>
                <w:spacing w:val="0"/>
                <w:kern w:val="0"/>
                <w:sz w:val="24"/>
                <w:szCs w:val="24"/>
                <w:lang w:val="en-US" w:eastAsia="zh-CN" w:bidi="ar"/>
              </w:rPr>
            </w:pPr>
          </w:p>
        </w:tc>
        <w:tc>
          <w:tcPr>
            <w:tcW w:w="1605"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988" w:hRule="atLeast"/>
        </w:trPr>
        <w:tc>
          <w:tcPr>
            <w:tcW w:w="501"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7</w:t>
            </w:r>
          </w:p>
        </w:tc>
        <w:tc>
          <w:tcPr>
            <w:tcW w:w="130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中医药监督抽查</w:t>
            </w:r>
          </w:p>
        </w:tc>
        <w:tc>
          <w:tcPr>
            <w:tcW w:w="660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对贯彻国家有关法律法规及中医医疗服务等进行监督检查。</w:t>
            </w:r>
          </w:p>
        </w:tc>
        <w:tc>
          <w:tcPr>
            <w:tcW w:w="148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市卫生监督所医疗机构监督科</w:t>
            </w:r>
          </w:p>
        </w:tc>
        <w:tc>
          <w:tcPr>
            <w:tcW w:w="16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中医医疗服务机构</w:t>
            </w:r>
          </w:p>
        </w:tc>
        <w:tc>
          <w:tcPr>
            <w:tcW w:w="10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74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sz w:val="24"/>
                <w:szCs w:val="24"/>
                <w:lang w:val="en-US" w:eastAsia="zh-CN"/>
              </w:rPr>
              <w:t>每年2次</w:t>
            </w:r>
          </w:p>
        </w:tc>
        <w:tc>
          <w:tcPr>
            <w:tcW w:w="160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lang w:val="en-US" w:eastAsia="zh-CN" w:bidi="ar"/>
              </w:rPr>
              <w:t>2019年5月2019年9月</w:t>
            </w:r>
          </w:p>
        </w:tc>
      </w:tr>
      <w:tr>
        <w:tblPrEx>
          <w:tblLayout w:type="fixed"/>
          <w:tblCellMar>
            <w:top w:w="0" w:type="dxa"/>
            <w:left w:w="0" w:type="dxa"/>
            <w:bottom w:w="0" w:type="dxa"/>
            <w:right w:w="0" w:type="dxa"/>
          </w:tblCellMar>
        </w:tblPrEx>
        <w:trPr>
          <w:trHeight w:val="988" w:hRule="atLeast"/>
        </w:trPr>
        <w:tc>
          <w:tcPr>
            <w:tcW w:w="501"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sz w:val="24"/>
                <w:szCs w:val="24"/>
                <w:lang w:val="en-US" w:eastAsia="zh-CN"/>
              </w:rPr>
              <w:t>8</w:t>
            </w:r>
          </w:p>
        </w:tc>
        <w:tc>
          <w:tcPr>
            <w:tcW w:w="130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sz w:val="24"/>
                <w:szCs w:val="24"/>
              </w:rPr>
              <w:t>计划生育监督</w:t>
            </w:r>
            <w:r>
              <w:rPr>
                <w:rFonts w:hint="eastAsia" w:ascii="仿宋" w:hAnsi="仿宋" w:eastAsia="仿宋" w:cs="仿宋"/>
                <w:b w:val="0"/>
                <w:i w:val="0"/>
                <w:caps w:val="0"/>
                <w:color w:val="000000"/>
                <w:spacing w:val="0"/>
                <w:kern w:val="0"/>
                <w:sz w:val="24"/>
                <w:szCs w:val="24"/>
                <w:lang w:val="en-US" w:eastAsia="zh-CN" w:bidi="ar"/>
              </w:rPr>
              <w:t>抽查</w:t>
            </w:r>
          </w:p>
        </w:tc>
        <w:tc>
          <w:tcPr>
            <w:tcW w:w="660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对计划生育相关法律法规执行情况的监督检查；对从事计划生育技术服务的机构及人员的监督检查，对打击非医学需要的胎儿性别鉴定和选择性别的人工终止妊娠行为的监督检查。</w:t>
            </w:r>
          </w:p>
        </w:tc>
        <w:tc>
          <w:tcPr>
            <w:tcW w:w="148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sz w:val="24"/>
                <w:szCs w:val="24"/>
                <w:lang w:eastAsia="zh-CN"/>
              </w:rPr>
              <w:t>妇保科</w:t>
            </w:r>
          </w:p>
        </w:tc>
        <w:tc>
          <w:tcPr>
            <w:tcW w:w="16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sz w:val="24"/>
                <w:szCs w:val="24"/>
                <w:lang w:val="en-US" w:eastAsia="zh-CN"/>
              </w:rPr>
              <w:t>各县（市、特区、区）卫生计生局、各医疗机构</w:t>
            </w:r>
          </w:p>
        </w:tc>
        <w:tc>
          <w:tcPr>
            <w:tcW w:w="106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仿宋" w:hAnsi="仿宋" w:eastAsia="仿宋" w:cs="仿宋"/>
                <w:sz w:val="24"/>
                <w:szCs w:val="24"/>
                <w:lang w:val="en-US" w:eastAsia="zh-CN"/>
              </w:rPr>
            </w:pPr>
          </w:p>
        </w:tc>
        <w:tc>
          <w:tcPr>
            <w:tcW w:w="174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每年1 次</w:t>
            </w:r>
          </w:p>
        </w:tc>
        <w:tc>
          <w:tcPr>
            <w:tcW w:w="160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2019</w:t>
            </w:r>
            <w:bookmarkStart w:id="0" w:name="_GoBack"/>
            <w:bookmarkEnd w:id="0"/>
            <w:r>
              <w:rPr>
                <w:rFonts w:hint="eastAsia" w:ascii="仿宋" w:hAnsi="仿宋" w:eastAsia="仿宋" w:cs="仿宋"/>
                <w:b w:val="0"/>
                <w:i w:val="0"/>
                <w:caps w:val="0"/>
                <w:color w:val="000000"/>
                <w:spacing w:val="0"/>
                <w:kern w:val="0"/>
                <w:sz w:val="24"/>
                <w:szCs w:val="24"/>
                <w:lang w:val="en-US" w:eastAsia="zh-CN" w:bidi="ar"/>
              </w:rPr>
              <w:t>年11月</w:t>
            </w:r>
          </w:p>
        </w:tc>
      </w:tr>
    </w:tbl>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Arial Unicode MS"/>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E5BA4"/>
    <w:rsid w:val="03EE7013"/>
    <w:rsid w:val="0C064112"/>
    <w:rsid w:val="17982AD4"/>
    <w:rsid w:val="1C0859D9"/>
    <w:rsid w:val="212C266D"/>
    <w:rsid w:val="3358294C"/>
    <w:rsid w:val="402A7E57"/>
    <w:rsid w:val="43511113"/>
    <w:rsid w:val="4AA77E49"/>
    <w:rsid w:val="4C1928E0"/>
    <w:rsid w:val="5100726E"/>
    <w:rsid w:val="53AE5BA4"/>
    <w:rsid w:val="56ED7857"/>
    <w:rsid w:val="5A7E690B"/>
    <w:rsid w:val="5DF07BBE"/>
    <w:rsid w:val="683D1B1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2018-05-02T12:21:00Z</dcterms:created>
  <dc:creator>Administrator</dc:creator>
  <cp:lastModifiedBy>王亚华</cp:lastModifiedBy>
  <cp:lastPrinted>2019-04-17T00:51:00Z</cp:lastPrinted>
  <dcterms:modified xsi:type="dcterms:W3CDTF">2019-05-10T03:57:27Z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